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C3E17" w14:textId="77777777" w:rsidR="0009182B" w:rsidRDefault="0009182B" w:rsidP="007B516E">
      <w:pPr>
        <w:widowControl/>
        <w:autoSpaceDE w:val="0"/>
        <w:autoSpaceDN w:val="0"/>
        <w:snapToGrid w:val="0"/>
        <w:spacing w:line="320" w:lineRule="atLeast"/>
        <w:ind w:left="851" w:right="822"/>
        <w:jc w:val="center"/>
        <w:textAlignment w:val="bottom"/>
        <w:rPr>
          <w:b/>
          <w:snapToGrid w:val="0"/>
          <w:sz w:val="32"/>
        </w:rPr>
      </w:pPr>
    </w:p>
    <w:p w14:paraId="74356F7F" w14:textId="044061E5" w:rsidR="007B516E" w:rsidRDefault="003D71E9" w:rsidP="007B516E">
      <w:pPr>
        <w:widowControl/>
        <w:autoSpaceDE w:val="0"/>
        <w:autoSpaceDN w:val="0"/>
        <w:snapToGrid w:val="0"/>
        <w:spacing w:line="320" w:lineRule="atLeast"/>
        <w:ind w:left="851" w:right="822"/>
        <w:jc w:val="center"/>
        <w:textAlignment w:val="bottom"/>
        <w:rPr>
          <w:b/>
          <w:snapToGrid w:val="0"/>
          <w:sz w:val="32"/>
        </w:rPr>
      </w:pPr>
      <w:r>
        <w:rPr>
          <w:rFonts w:hint="eastAsia"/>
          <w:b/>
          <w:snapToGrid w:val="0"/>
          <w:sz w:val="32"/>
        </w:rPr>
        <w:t>集水區</w:t>
      </w:r>
      <w:r w:rsidR="0009182B">
        <w:rPr>
          <w:rFonts w:hint="eastAsia"/>
          <w:b/>
          <w:snapToGrid w:val="0"/>
          <w:sz w:val="32"/>
        </w:rPr>
        <w:t>長期</w:t>
      </w:r>
      <w:r w:rsidR="007F687E">
        <w:rPr>
          <w:rFonts w:hint="eastAsia"/>
          <w:b/>
          <w:snapToGrid w:val="0"/>
          <w:sz w:val="32"/>
        </w:rPr>
        <w:t>雨量</w:t>
      </w:r>
      <w:r>
        <w:rPr>
          <w:rFonts w:hint="eastAsia"/>
          <w:b/>
          <w:snapToGrid w:val="0"/>
          <w:sz w:val="32"/>
        </w:rPr>
        <w:t>機率</w:t>
      </w:r>
      <w:r w:rsidR="0009182B">
        <w:rPr>
          <w:rFonts w:hint="eastAsia"/>
          <w:b/>
          <w:snapToGrid w:val="0"/>
          <w:sz w:val="32"/>
        </w:rPr>
        <w:t>預報</w:t>
      </w:r>
      <w:r w:rsidR="007F687E">
        <w:rPr>
          <w:rFonts w:hint="eastAsia"/>
          <w:b/>
          <w:snapToGrid w:val="0"/>
          <w:sz w:val="32"/>
        </w:rPr>
        <w:t>應用於</w:t>
      </w:r>
      <w:r>
        <w:rPr>
          <w:rFonts w:hint="eastAsia"/>
          <w:b/>
          <w:snapToGrid w:val="0"/>
          <w:sz w:val="32"/>
        </w:rPr>
        <w:t>水庫入流量預測表現評估</w:t>
      </w:r>
    </w:p>
    <w:p w14:paraId="50D3CC7A" w14:textId="77777777" w:rsidR="0009182B" w:rsidRDefault="0009182B" w:rsidP="007B516E">
      <w:pPr>
        <w:widowControl/>
        <w:autoSpaceDE w:val="0"/>
        <w:autoSpaceDN w:val="0"/>
        <w:snapToGrid w:val="0"/>
        <w:spacing w:line="320" w:lineRule="atLeast"/>
        <w:ind w:left="851" w:right="822"/>
        <w:jc w:val="center"/>
        <w:textAlignment w:val="bottom"/>
        <w:rPr>
          <w:b/>
          <w:snapToGrid w:val="0"/>
          <w:sz w:val="32"/>
        </w:rPr>
      </w:pPr>
    </w:p>
    <w:p w14:paraId="7DCDA7B7" w14:textId="34B97E1F" w:rsidR="0009182B" w:rsidRPr="00A0385F" w:rsidRDefault="00E93A98" w:rsidP="0009182B">
      <w:pPr>
        <w:widowControl/>
        <w:autoSpaceDE w:val="0"/>
        <w:autoSpaceDN w:val="0"/>
        <w:snapToGrid w:val="0"/>
        <w:spacing w:line="200" w:lineRule="atLeast"/>
        <w:ind w:right="822"/>
        <w:jc w:val="center"/>
        <w:textAlignment w:val="bottom"/>
        <w:rPr>
          <w:rFonts w:hint="eastAsia"/>
          <w:b/>
          <w:snapToGrid w:val="0"/>
          <w:sz w:val="20"/>
        </w:rPr>
      </w:pPr>
      <w:r w:rsidRPr="006C718E">
        <w:rPr>
          <w:rFonts w:hint="eastAsia"/>
          <w:b/>
          <w:snapToGrid w:val="0"/>
          <w:sz w:val="20"/>
        </w:rPr>
        <w:t>戴源里</w:t>
      </w:r>
      <w:r w:rsidR="007B516E" w:rsidRPr="006C718E">
        <w:rPr>
          <w:b/>
          <w:snapToGrid w:val="0"/>
          <w:position w:val="12"/>
          <w:sz w:val="12"/>
        </w:rPr>
        <w:t>1</w:t>
      </w:r>
      <w:r w:rsidR="002B4B00" w:rsidRPr="006C718E">
        <w:rPr>
          <w:b/>
          <w:snapToGrid w:val="0"/>
          <w:position w:val="12"/>
          <w:sz w:val="12"/>
          <w:vertAlign w:val="superscript"/>
        </w:rPr>
        <w:t xml:space="preserve"> </w:t>
      </w:r>
      <w:r w:rsidR="002B4B00" w:rsidRPr="006C718E">
        <w:rPr>
          <w:rFonts w:hint="eastAsia"/>
          <w:b/>
          <w:snapToGrid w:val="0"/>
          <w:position w:val="12"/>
          <w:sz w:val="12"/>
          <w:vertAlign w:val="superscript"/>
        </w:rPr>
        <w:t xml:space="preserve"> </w:t>
      </w:r>
      <w:r w:rsidR="002B4B00" w:rsidRPr="006C718E">
        <w:rPr>
          <w:b/>
          <w:snapToGrid w:val="0"/>
          <w:sz w:val="20"/>
        </w:rPr>
        <w:t xml:space="preserve"> </w:t>
      </w:r>
      <w:r w:rsidRPr="006C718E">
        <w:rPr>
          <w:rFonts w:hint="eastAsia"/>
          <w:b/>
          <w:snapToGrid w:val="0"/>
          <w:sz w:val="20"/>
        </w:rPr>
        <w:t>鄭克聲</w:t>
      </w:r>
      <w:r w:rsidR="006C718E" w:rsidRPr="006C718E">
        <w:rPr>
          <w:rFonts w:hint="eastAsia"/>
          <w:b/>
          <w:snapToGrid w:val="0"/>
          <w:position w:val="12"/>
          <w:sz w:val="12"/>
        </w:rPr>
        <w:t>2</w:t>
      </w:r>
      <w:r w:rsidR="002B4B00" w:rsidRPr="006C718E">
        <w:rPr>
          <w:b/>
          <w:snapToGrid w:val="0"/>
          <w:position w:val="12"/>
          <w:sz w:val="12"/>
        </w:rPr>
        <w:t xml:space="preserve"> </w:t>
      </w:r>
      <w:r w:rsidR="002B4B00" w:rsidRPr="006C718E">
        <w:rPr>
          <w:b/>
          <w:snapToGrid w:val="0"/>
          <w:position w:val="12"/>
          <w:sz w:val="12"/>
          <w:vertAlign w:val="superscript"/>
        </w:rPr>
        <w:t xml:space="preserve"> </w:t>
      </w:r>
      <w:r w:rsidR="002B4B00" w:rsidRPr="006C718E">
        <w:rPr>
          <w:b/>
          <w:snapToGrid w:val="0"/>
          <w:sz w:val="20"/>
        </w:rPr>
        <w:t xml:space="preserve"> </w:t>
      </w:r>
      <w:r w:rsidR="002B4B00" w:rsidRPr="006C718E">
        <w:rPr>
          <w:rFonts w:hint="eastAsia"/>
          <w:b/>
          <w:snapToGrid w:val="0"/>
          <w:sz w:val="20"/>
        </w:rPr>
        <w:t>吳啟瑞</w:t>
      </w:r>
      <w:r w:rsidR="002B4B00" w:rsidRPr="006C718E">
        <w:rPr>
          <w:b/>
          <w:snapToGrid w:val="0"/>
          <w:position w:val="12"/>
          <w:sz w:val="12"/>
        </w:rPr>
        <w:t>1</w:t>
      </w:r>
      <w:r w:rsidR="002B4B00" w:rsidRPr="006C718E">
        <w:rPr>
          <w:rFonts w:hint="eastAsia"/>
          <w:b/>
          <w:snapToGrid w:val="0"/>
          <w:sz w:val="20"/>
        </w:rPr>
        <w:t xml:space="preserve"> </w:t>
      </w:r>
      <w:r w:rsidR="00A0385F">
        <w:rPr>
          <w:rFonts w:hint="eastAsia"/>
          <w:b/>
          <w:snapToGrid w:val="0"/>
          <w:sz w:val="20"/>
        </w:rPr>
        <w:t>郭芳慈</w:t>
      </w:r>
      <w:r w:rsidR="00A0385F">
        <w:rPr>
          <w:rFonts w:hint="eastAsia"/>
          <w:b/>
          <w:snapToGrid w:val="0"/>
          <w:position w:val="12"/>
          <w:sz w:val="12"/>
        </w:rPr>
        <w:t>3</w:t>
      </w:r>
    </w:p>
    <w:p w14:paraId="4B78325B" w14:textId="6B402C0A" w:rsidR="007B516E" w:rsidRPr="006C718E" w:rsidRDefault="0009182B" w:rsidP="0009182B">
      <w:pPr>
        <w:widowControl/>
        <w:autoSpaceDE w:val="0"/>
        <w:autoSpaceDN w:val="0"/>
        <w:snapToGrid w:val="0"/>
        <w:spacing w:line="200" w:lineRule="atLeast"/>
        <w:ind w:right="822"/>
        <w:jc w:val="center"/>
        <w:textAlignment w:val="bottom"/>
        <w:rPr>
          <w:b/>
          <w:snapToGrid w:val="0"/>
          <w:sz w:val="20"/>
        </w:rPr>
      </w:pPr>
      <w:r w:rsidRPr="006C718E">
        <w:rPr>
          <w:rFonts w:hint="eastAsia"/>
          <w:snapToGrid w:val="0"/>
          <w:sz w:val="20"/>
        </w:rPr>
        <w:t>(1)</w:t>
      </w:r>
      <w:r w:rsidR="00E93A98" w:rsidRPr="006C718E">
        <w:rPr>
          <w:rFonts w:hint="eastAsia"/>
          <w:b/>
          <w:snapToGrid w:val="0"/>
          <w:sz w:val="20"/>
        </w:rPr>
        <w:t>台灣水資源與農業研究院</w:t>
      </w:r>
      <w:r w:rsidR="00A0385F">
        <w:rPr>
          <w:rFonts w:hint="eastAsia"/>
          <w:b/>
          <w:snapToGrid w:val="0"/>
          <w:sz w:val="20"/>
        </w:rPr>
        <w:t xml:space="preserve"> </w:t>
      </w:r>
      <w:r w:rsidR="002B4B00" w:rsidRPr="006C718E">
        <w:rPr>
          <w:snapToGrid w:val="0"/>
          <w:sz w:val="20"/>
        </w:rPr>
        <w:t>(2)</w:t>
      </w:r>
      <w:r w:rsidR="006C718E" w:rsidRPr="006C718E">
        <w:rPr>
          <w:rFonts w:hint="eastAsia"/>
          <w:b/>
          <w:snapToGrid w:val="0"/>
          <w:sz w:val="20"/>
        </w:rPr>
        <w:t>臺灣大學氣候天氣災害研究中心</w:t>
      </w:r>
      <w:r w:rsidR="00A0385F" w:rsidRPr="00A0385F">
        <w:rPr>
          <w:rFonts w:hint="eastAsia"/>
          <w:snapToGrid w:val="0"/>
          <w:sz w:val="20"/>
        </w:rPr>
        <w:t>(3)</w:t>
      </w:r>
      <w:r w:rsidR="00A0385F" w:rsidRPr="00A0385F">
        <w:rPr>
          <w:rFonts w:hint="eastAsia"/>
          <w:b/>
          <w:bCs/>
          <w:snapToGrid w:val="0"/>
          <w:sz w:val="20"/>
        </w:rPr>
        <w:t>農業部農田水利署</w:t>
      </w:r>
    </w:p>
    <w:p w14:paraId="4F927280" w14:textId="77777777" w:rsidR="0009182B" w:rsidRPr="00A0385F" w:rsidRDefault="0009182B" w:rsidP="007B516E">
      <w:pPr>
        <w:widowControl/>
        <w:autoSpaceDE w:val="0"/>
        <w:autoSpaceDN w:val="0"/>
        <w:snapToGrid w:val="0"/>
        <w:spacing w:line="240" w:lineRule="atLeast"/>
        <w:jc w:val="center"/>
        <w:textAlignment w:val="bottom"/>
        <w:rPr>
          <w:b/>
          <w:position w:val="20"/>
          <w:sz w:val="28"/>
        </w:rPr>
      </w:pPr>
    </w:p>
    <w:p w14:paraId="4342DA02" w14:textId="77777777" w:rsidR="002812CE" w:rsidRDefault="0087626C" w:rsidP="00675FA0">
      <w:pPr>
        <w:widowControl/>
        <w:tabs>
          <w:tab w:val="left" w:pos="9781"/>
        </w:tabs>
        <w:autoSpaceDE w:val="0"/>
        <w:autoSpaceDN w:val="0"/>
        <w:snapToGrid w:val="0"/>
        <w:spacing w:line="240" w:lineRule="atLeast"/>
        <w:ind w:left="851" w:right="794" w:firstLineChars="141" w:firstLine="282"/>
        <w:jc w:val="both"/>
        <w:textAlignment w:val="bottom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 </w:t>
      </w:r>
      <w:r w:rsidR="005731E7">
        <w:rPr>
          <w:rFonts w:hint="eastAsia"/>
          <w:snapToGrid w:val="0"/>
          <w:sz w:val="20"/>
        </w:rPr>
        <w:t>在</w:t>
      </w:r>
      <w:r w:rsidR="00793D75">
        <w:rPr>
          <w:rFonts w:hint="eastAsia"/>
          <w:snapToGrid w:val="0"/>
          <w:sz w:val="20"/>
        </w:rPr>
        <w:t>水資源管理與決策</w:t>
      </w:r>
      <w:r w:rsidR="005731E7">
        <w:rPr>
          <w:rFonts w:hint="eastAsia"/>
          <w:snapToGrid w:val="0"/>
          <w:sz w:val="20"/>
        </w:rPr>
        <w:t>中，需要於各期作前評估未來整個期作的水情狀況</w:t>
      </w:r>
      <w:r w:rsidR="00F10741">
        <w:rPr>
          <w:rFonts w:hint="eastAsia"/>
          <w:snapToGrid w:val="0"/>
          <w:sz w:val="20"/>
        </w:rPr>
        <w:t>，</w:t>
      </w:r>
      <w:r w:rsidR="005731E7">
        <w:rPr>
          <w:rFonts w:hint="eastAsia"/>
          <w:snapToGrid w:val="0"/>
          <w:sz w:val="20"/>
        </w:rPr>
        <w:t>以進行水資源調度分配，因此，長期雨量</w:t>
      </w:r>
      <w:r w:rsidR="00E744C5">
        <w:rPr>
          <w:rFonts w:hint="eastAsia"/>
          <w:snapToGrid w:val="0"/>
          <w:sz w:val="20"/>
        </w:rPr>
        <w:t>機率</w:t>
      </w:r>
      <w:r w:rsidR="005731E7">
        <w:rPr>
          <w:rFonts w:hint="eastAsia"/>
          <w:snapToGrid w:val="0"/>
          <w:sz w:val="20"/>
        </w:rPr>
        <w:t>預報在水資源決策上常扮演一個很重要的角色。</w:t>
      </w:r>
    </w:p>
    <w:p w14:paraId="4F51C171" w14:textId="77F6A11C" w:rsidR="00EA4573" w:rsidRPr="00007E46" w:rsidRDefault="0087626C" w:rsidP="00675FA0">
      <w:pPr>
        <w:widowControl/>
        <w:tabs>
          <w:tab w:val="left" w:pos="9781"/>
        </w:tabs>
        <w:autoSpaceDE w:val="0"/>
        <w:autoSpaceDN w:val="0"/>
        <w:snapToGrid w:val="0"/>
        <w:spacing w:line="240" w:lineRule="atLeast"/>
        <w:ind w:left="851" w:right="794" w:firstLineChars="141" w:firstLine="282"/>
        <w:jc w:val="both"/>
        <w:textAlignment w:val="bottom"/>
        <w:rPr>
          <w:rFonts w:hint="eastAsia"/>
          <w:snapToGrid w:val="0"/>
          <w:sz w:val="20"/>
        </w:rPr>
      </w:pPr>
      <w:r>
        <w:rPr>
          <w:rFonts w:hint="eastAsia"/>
          <w:snapToGrid w:val="0"/>
          <w:sz w:val="20"/>
        </w:rPr>
        <w:t>本研究蒐集</w:t>
      </w:r>
      <w:r w:rsidR="00B323D3">
        <w:rPr>
          <w:rFonts w:hint="eastAsia"/>
          <w:snapToGrid w:val="0"/>
          <w:sz w:val="20"/>
        </w:rPr>
        <w:t>近</w:t>
      </w:r>
      <w:r>
        <w:rPr>
          <w:rFonts w:hint="eastAsia"/>
          <w:snapToGrid w:val="0"/>
          <w:sz w:val="20"/>
        </w:rPr>
        <w:t>30</w:t>
      </w:r>
      <w:r>
        <w:rPr>
          <w:rFonts w:hint="eastAsia"/>
          <w:snapToGrid w:val="0"/>
          <w:sz w:val="20"/>
        </w:rPr>
        <w:t>年系集格點雨量</w:t>
      </w:r>
      <w:r>
        <w:rPr>
          <w:rFonts w:hint="eastAsia"/>
          <w:snapToGrid w:val="0"/>
          <w:sz w:val="20"/>
        </w:rPr>
        <w:t>長期</w:t>
      </w:r>
      <w:r>
        <w:rPr>
          <w:rFonts w:hint="eastAsia"/>
          <w:snapToGrid w:val="0"/>
          <w:sz w:val="20"/>
        </w:rPr>
        <w:t>預報資料，用以計算石門水庫</w:t>
      </w:r>
      <w:r w:rsidRPr="0087626C">
        <w:rPr>
          <w:rFonts w:hint="eastAsia"/>
          <w:snapToGrid w:val="0"/>
          <w:sz w:val="20"/>
        </w:rPr>
        <w:t>集水區長期雨量</w:t>
      </w:r>
      <w:r>
        <w:rPr>
          <w:rFonts w:hint="eastAsia"/>
          <w:snapToGrid w:val="0"/>
          <w:sz w:val="20"/>
        </w:rPr>
        <w:t>機率預報值。假設集水區雨量與水庫入流量為一對一對應關係，應用分位數轉換公式，可將機率預報值轉換</w:t>
      </w:r>
      <w:r w:rsidR="00B323D3">
        <w:rPr>
          <w:rFonts w:hint="eastAsia"/>
          <w:snapToGrid w:val="0"/>
          <w:sz w:val="20"/>
        </w:rPr>
        <w:t>為水庫入流量機率分布，</w:t>
      </w:r>
      <w:r w:rsidR="002812CE" w:rsidRPr="002812CE">
        <w:rPr>
          <w:rFonts w:hint="eastAsia"/>
          <w:snapToGrid w:val="0"/>
          <w:sz w:val="20"/>
        </w:rPr>
        <w:t>並透過機率積分轉換定理</w:t>
      </w:r>
      <w:r w:rsidR="002812CE" w:rsidRPr="002812CE">
        <w:rPr>
          <w:rFonts w:hint="eastAsia"/>
          <w:snapToGrid w:val="0"/>
          <w:sz w:val="20"/>
        </w:rPr>
        <w:t>(theorem of probability integral transformation)</w:t>
      </w:r>
      <w:r w:rsidR="002812CE" w:rsidRPr="002812CE">
        <w:rPr>
          <w:rFonts w:hint="eastAsia"/>
          <w:snapToGrid w:val="0"/>
          <w:sz w:val="20"/>
        </w:rPr>
        <w:t>與柯斯檢定</w:t>
      </w:r>
      <w:r w:rsidR="002812CE" w:rsidRPr="002812CE">
        <w:rPr>
          <w:rFonts w:hint="eastAsia"/>
          <w:snapToGrid w:val="0"/>
          <w:sz w:val="20"/>
        </w:rPr>
        <w:t>(Kolmogorov-Smirnov test)</w:t>
      </w:r>
      <w:r w:rsidR="002812CE" w:rsidRPr="002812CE">
        <w:rPr>
          <w:rFonts w:hint="eastAsia"/>
          <w:snapToGrid w:val="0"/>
          <w:sz w:val="20"/>
        </w:rPr>
        <w:t>評估觀測入流量資料是否來自於預報機率分布</w:t>
      </w:r>
      <w:r w:rsidR="002812CE">
        <w:rPr>
          <w:rFonts w:hint="eastAsia"/>
          <w:snapToGrid w:val="0"/>
          <w:sz w:val="20"/>
        </w:rPr>
        <w:t>。</w:t>
      </w:r>
      <w:r w:rsidR="00981570">
        <w:rPr>
          <w:rFonts w:hint="eastAsia"/>
          <w:snapToGrid w:val="0"/>
          <w:sz w:val="20"/>
        </w:rPr>
        <w:t>從柯斯檢定結果得知，</w:t>
      </w:r>
      <w:r w:rsidR="00007E46">
        <w:rPr>
          <w:rFonts w:hint="eastAsia"/>
          <w:snapToGrid w:val="0"/>
          <w:sz w:val="20"/>
        </w:rPr>
        <w:t>觀測入流量對應預報機率分布之累積機率值，符合均勻分布假設，表示水庫入流量機率分布預報表現具有</w:t>
      </w:r>
      <w:r w:rsidR="001E5140">
        <w:rPr>
          <w:rFonts w:hint="eastAsia"/>
          <w:snapToGrid w:val="0"/>
          <w:sz w:val="20"/>
        </w:rPr>
        <w:t>可信度</w:t>
      </w:r>
      <w:r w:rsidR="002812CE">
        <w:rPr>
          <w:rFonts w:hint="eastAsia"/>
          <w:snapToGrid w:val="0"/>
          <w:sz w:val="20"/>
        </w:rPr>
        <w:t>。</w:t>
      </w:r>
      <w:r w:rsidR="002812CE" w:rsidRPr="002812CE">
        <w:rPr>
          <w:rFonts w:hint="eastAsia"/>
          <w:snapToGrid w:val="0"/>
          <w:sz w:val="20"/>
        </w:rPr>
        <w:t>此方法不僅是一個量化的預報表現評估方式，還可以從累積機率圖分布情形，了解預報表現特性，像是預報是否高估或低估平均值及變異數等。</w:t>
      </w:r>
    </w:p>
    <w:p w14:paraId="37DB687B" w14:textId="4BBB16D4" w:rsidR="007B516E" w:rsidRDefault="007B516E" w:rsidP="007B516E">
      <w:pPr>
        <w:widowControl/>
        <w:tabs>
          <w:tab w:val="left" w:pos="9781"/>
        </w:tabs>
        <w:autoSpaceDE w:val="0"/>
        <w:autoSpaceDN w:val="0"/>
        <w:snapToGrid w:val="0"/>
        <w:spacing w:line="480" w:lineRule="atLeast"/>
        <w:ind w:right="794" w:firstLineChars="200" w:firstLine="400"/>
        <w:textAlignment w:val="bottom"/>
        <w:rPr>
          <w:snapToGrid w:val="0"/>
          <w:sz w:val="20"/>
        </w:rPr>
      </w:pPr>
      <w:r>
        <w:rPr>
          <w:rFonts w:hint="eastAsia"/>
          <w:snapToGrid w:val="0"/>
          <w:sz w:val="20"/>
        </w:rPr>
        <w:t>關鍵</w:t>
      </w:r>
      <w:r w:rsidR="0042276E">
        <w:rPr>
          <w:rFonts w:hint="eastAsia"/>
          <w:snapToGrid w:val="0"/>
          <w:sz w:val="20"/>
        </w:rPr>
        <w:t>詞</w:t>
      </w:r>
      <w:r>
        <w:rPr>
          <w:rFonts w:hint="eastAsia"/>
          <w:snapToGrid w:val="0"/>
          <w:sz w:val="20"/>
        </w:rPr>
        <w:t>：</w:t>
      </w:r>
      <w:r w:rsidR="001A1EB8">
        <w:rPr>
          <w:rFonts w:hint="eastAsia"/>
          <w:snapToGrid w:val="0"/>
          <w:sz w:val="20"/>
        </w:rPr>
        <w:t>長期雨量機率預報、預報表現評估、</w:t>
      </w:r>
      <w:r w:rsidR="00254555">
        <w:rPr>
          <w:rFonts w:hint="eastAsia"/>
          <w:snapToGrid w:val="0"/>
          <w:sz w:val="20"/>
        </w:rPr>
        <w:t>水庫入流量預測</w:t>
      </w:r>
      <w:r w:rsidR="00D26A51">
        <w:rPr>
          <w:rFonts w:hint="eastAsia"/>
          <w:snapToGrid w:val="0"/>
          <w:sz w:val="20"/>
        </w:rPr>
        <w:t>。</w:t>
      </w:r>
    </w:p>
    <w:p w14:paraId="210BF33F" w14:textId="31307F55" w:rsidR="007208E9" w:rsidRDefault="007208E9" w:rsidP="007208E9">
      <w:pPr>
        <w:jc w:val="center"/>
      </w:pPr>
    </w:p>
    <w:sectPr w:rsidR="007208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7DC0B" w14:textId="77777777" w:rsidR="00835338" w:rsidRDefault="00835338" w:rsidP="003D71E9">
      <w:pPr>
        <w:spacing w:line="240" w:lineRule="auto"/>
      </w:pPr>
      <w:r>
        <w:separator/>
      </w:r>
    </w:p>
  </w:endnote>
  <w:endnote w:type="continuationSeparator" w:id="0">
    <w:p w14:paraId="4273D1E0" w14:textId="77777777" w:rsidR="00835338" w:rsidRDefault="00835338" w:rsidP="003D7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B7FB" w14:textId="77777777" w:rsidR="00835338" w:rsidRDefault="00835338" w:rsidP="003D71E9">
      <w:pPr>
        <w:spacing w:line="240" w:lineRule="auto"/>
      </w:pPr>
      <w:r>
        <w:separator/>
      </w:r>
    </w:p>
  </w:footnote>
  <w:footnote w:type="continuationSeparator" w:id="0">
    <w:p w14:paraId="0DD8E96A" w14:textId="77777777" w:rsidR="00835338" w:rsidRDefault="00835338" w:rsidP="003D71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D783E"/>
    <w:multiLevelType w:val="hybridMultilevel"/>
    <w:tmpl w:val="71181EA8"/>
    <w:lvl w:ilvl="0" w:tplc="2D8E1DD6">
      <w:start w:val="1"/>
      <w:numFmt w:val="decimal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 w16cid:durableId="138544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6E"/>
    <w:rsid w:val="00007E46"/>
    <w:rsid w:val="00016FC8"/>
    <w:rsid w:val="0002545F"/>
    <w:rsid w:val="0009182B"/>
    <w:rsid w:val="00115DEC"/>
    <w:rsid w:val="001A1EB8"/>
    <w:rsid w:val="001A269D"/>
    <w:rsid w:val="001A5579"/>
    <w:rsid w:val="001E5140"/>
    <w:rsid w:val="00220B28"/>
    <w:rsid w:val="00254555"/>
    <w:rsid w:val="002812CE"/>
    <w:rsid w:val="00287F7B"/>
    <w:rsid w:val="002A6B43"/>
    <w:rsid w:val="002B4B00"/>
    <w:rsid w:val="003A41D3"/>
    <w:rsid w:val="003D71E9"/>
    <w:rsid w:val="0041500C"/>
    <w:rsid w:val="0042276E"/>
    <w:rsid w:val="0047430D"/>
    <w:rsid w:val="00513349"/>
    <w:rsid w:val="0051639F"/>
    <w:rsid w:val="00533653"/>
    <w:rsid w:val="005731E7"/>
    <w:rsid w:val="005A15EC"/>
    <w:rsid w:val="00624574"/>
    <w:rsid w:val="00675FA0"/>
    <w:rsid w:val="006C718E"/>
    <w:rsid w:val="006C79F6"/>
    <w:rsid w:val="006F3E91"/>
    <w:rsid w:val="00702958"/>
    <w:rsid w:val="007208E9"/>
    <w:rsid w:val="00785B48"/>
    <w:rsid w:val="00793D75"/>
    <w:rsid w:val="007B516E"/>
    <w:rsid w:val="007F239D"/>
    <w:rsid w:val="007F687E"/>
    <w:rsid w:val="00835338"/>
    <w:rsid w:val="0087626C"/>
    <w:rsid w:val="00877004"/>
    <w:rsid w:val="00924BB6"/>
    <w:rsid w:val="00933550"/>
    <w:rsid w:val="00934BFF"/>
    <w:rsid w:val="00981570"/>
    <w:rsid w:val="00993FFB"/>
    <w:rsid w:val="009B15E2"/>
    <w:rsid w:val="009B17E3"/>
    <w:rsid w:val="00A0385F"/>
    <w:rsid w:val="00A4140D"/>
    <w:rsid w:val="00AA4A13"/>
    <w:rsid w:val="00AD3B1B"/>
    <w:rsid w:val="00B323D3"/>
    <w:rsid w:val="00BA6C6A"/>
    <w:rsid w:val="00BC4EC6"/>
    <w:rsid w:val="00BD41B1"/>
    <w:rsid w:val="00C25FF2"/>
    <w:rsid w:val="00C53042"/>
    <w:rsid w:val="00C5308C"/>
    <w:rsid w:val="00D26A51"/>
    <w:rsid w:val="00D44194"/>
    <w:rsid w:val="00D86EF5"/>
    <w:rsid w:val="00E21D1F"/>
    <w:rsid w:val="00E6056A"/>
    <w:rsid w:val="00E744C5"/>
    <w:rsid w:val="00E93A98"/>
    <w:rsid w:val="00EA4573"/>
    <w:rsid w:val="00EB1D8F"/>
    <w:rsid w:val="00F1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67E948"/>
  <w15:chartTrackingRefBased/>
  <w15:docId w15:val="{FA113241-03CA-46D2-B938-C131CD9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16E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FA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D7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3D71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D71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3D71E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79218-9943-4ACE-B3FE-D3A65FF3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戴源里</dc:creator>
  <cp:keywords/>
  <dc:description/>
  <cp:lastModifiedBy>戴源里</cp:lastModifiedBy>
  <cp:revision>18</cp:revision>
  <dcterms:created xsi:type="dcterms:W3CDTF">2024-07-15T05:24:00Z</dcterms:created>
  <dcterms:modified xsi:type="dcterms:W3CDTF">2024-07-17T05:56:00Z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252b058b5bfa50e922fa516b4f4862636068224368274bbbb98d665e42c8625a</vt:lpwstr>
  </property>
</Properties>
</file>